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9D1F5D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D1F5D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9D1F5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F5D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9D1F5D" w:rsidRPr="009D1F5D">
        <w:rPr>
          <w:rFonts w:ascii="Times New Roman" w:hAnsi="Times New Roman" w:cs="Times New Roman"/>
          <w:b/>
          <w:sz w:val="32"/>
          <w:szCs w:val="32"/>
        </w:rPr>
        <w:t>КОЛОМЫЦЕВСКОГО</w:t>
      </w:r>
      <w:r w:rsidRPr="009D1F5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9D1F5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F5D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9D1F5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F5D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9D1F5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9D1F5D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9D1F5D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>«2</w:t>
      </w:r>
      <w:r w:rsidR="00644E52" w:rsidRPr="009D1F5D">
        <w:rPr>
          <w:rFonts w:ascii="Times New Roman" w:hAnsi="Times New Roman" w:cs="Times New Roman"/>
          <w:sz w:val="28"/>
          <w:szCs w:val="28"/>
        </w:rPr>
        <w:t>1</w:t>
      </w:r>
      <w:r w:rsidR="00CB54AB" w:rsidRPr="009D1F5D">
        <w:rPr>
          <w:rFonts w:ascii="Times New Roman" w:hAnsi="Times New Roman" w:cs="Times New Roman"/>
          <w:sz w:val="28"/>
          <w:szCs w:val="28"/>
        </w:rPr>
        <w:t xml:space="preserve">» </w:t>
      </w:r>
      <w:r w:rsidR="00644E52" w:rsidRPr="009D1F5D">
        <w:rPr>
          <w:rFonts w:ascii="Times New Roman" w:hAnsi="Times New Roman" w:cs="Times New Roman"/>
          <w:sz w:val="28"/>
          <w:szCs w:val="28"/>
        </w:rPr>
        <w:t>февраля</w:t>
      </w:r>
      <w:r w:rsidR="00CB54AB" w:rsidRPr="009D1F5D">
        <w:rPr>
          <w:rFonts w:ascii="Times New Roman" w:hAnsi="Times New Roman" w:cs="Times New Roman"/>
          <w:sz w:val="28"/>
          <w:szCs w:val="28"/>
        </w:rPr>
        <w:t xml:space="preserve"> 202</w:t>
      </w:r>
      <w:r w:rsidR="00644E52" w:rsidRPr="009D1F5D">
        <w:rPr>
          <w:rFonts w:ascii="Times New Roman" w:hAnsi="Times New Roman" w:cs="Times New Roman"/>
          <w:sz w:val="28"/>
          <w:szCs w:val="28"/>
        </w:rPr>
        <w:t>4</w:t>
      </w:r>
      <w:r w:rsidR="000E2F9C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CB54AB" w:rsidRPr="009D1F5D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9D1F5D" w:rsidRPr="009D1F5D">
        <w:rPr>
          <w:rFonts w:ascii="Times New Roman" w:hAnsi="Times New Roman" w:cs="Times New Roman"/>
          <w:sz w:val="28"/>
          <w:szCs w:val="28"/>
        </w:rPr>
        <w:t xml:space="preserve"> 15-р</w:t>
      </w:r>
    </w:p>
    <w:p w:rsidR="00CB54AB" w:rsidRPr="009D1F5D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9D1F5D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9D1F5D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F5D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9D1F5D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F5D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9D1F5D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F5D">
        <w:rPr>
          <w:rFonts w:ascii="Times New Roman" w:hAnsi="Times New Roman" w:cs="Times New Roman"/>
          <w:b/>
          <w:sz w:val="28"/>
          <w:szCs w:val="28"/>
        </w:rPr>
        <w:t>«О</w:t>
      </w:r>
      <w:r w:rsidR="00A938BB" w:rsidRPr="009D1F5D">
        <w:rPr>
          <w:rFonts w:ascii="Times New Roman" w:hAnsi="Times New Roman" w:cs="Times New Roman"/>
          <w:b/>
          <w:sz w:val="28"/>
          <w:szCs w:val="28"/>
        </w:rPr>
        <w:t>б</w:t>
      </w:r>
      <w:r w:rsidRPr="009D1F5D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056FF1" w:rsidRPr="009D1F5D" w:rsidRDefault="00CB54AB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F5D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Start w:id="0" w:name="_Hlk66945616"/>
      <w:r w:rsidR="00056FF1" w:rsidRPr="009D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F5D" w:rsidRPr="009D1F5D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056FF1" w:rsidRPr="009D1F5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056FF1" w:rsidRPr="009D1F5D" w:rsidRDefault="00056FF1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F5D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</w:t>
      </w:r>
    </w:p>
    <w:p w:rsidR="004C6692" w:rsidRPr="009D1F5D" w:rsidRDefault="00056FF1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F5D">
        <w:rPr>
          <w:rFonts w:ascii="Times New Roman" w:hAnsi="Times New Roman" w:cs="Times New Roman"/>
          <w:b/>
          <w:sz w:val="28"/>
          <w:szCs w:val="28"/>
        </w:rPr>
        <w:t xml:space="preserve">«Прохоровский район»  </w:t>
      </w:r>
      <w:r w:rsidR="00CB54AB" w:rsidRPr="009D1F5D">
        <w:rPr>
          <w:rFonts w:ascii="Times New Roman" w:hAnsi="Times New Roman" w:cs="Times New Roman"/>
          <w:b/>
          <w:sz w:val="28"/>
          <w:szCs w:val="28"/>
        </w:rPr>
        <w:t>за 202</w:t>
      </w:r>
      <w:r w:rsidR="00644E52" w:rsidRPr="009D1F5D">
        <w:rPr>
          <w:rFonts w:ascii="Times New Roman" w:hAnsi="Times New Roman" w:cs="Times New Roman"/>
          <w:b/>
          <w:sz w:val="28"/>
          <w:szCs w:val="28"/>
        </w:rPr>
        <w:t>3</w:t>
      </w:r>
      <w:r w:rsidR="003906F3" w:rsidRPr="009D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AB" w:rsidRPr="009D1F5D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0"/>
    <w:p w:rsidR="004C6692" w:rsidRPr="009D1F5D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9D1F5D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9D1F5D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Pr="009D1F5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9D1F5D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Pr="009D1F5D">
        <w:rPr>
          <w:rFonts w:ascii="Times New Roman" w:hAnsi="Times New Roman" w:cs="Times New Roman"/>
          <w:sz w:val="28"/>
          <w:szCs w:val="28"/>
        </w:rPr>
        <w:t>за 202</w:t>
      </w:r>
      <w:r w:rsidR="00644E52" w:rsidRPr="009D1F5D">
        <w:rPr>
          <w:rFonts w:ascii="Times New Roman" w:hAnsi="Times New Roman" w:cs="Times New Roman"/>
          <w:sz w:val="28"/>
          <w:szCs w:val="28"/>
        </w:rPr>
        <w:t>3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Pr="009D1F5D">
        <w:rPr>
          <w:rFonts w:ascii="Times New Roman" w:hAnsi="Times New Roman" w:cs="Times New Roman"/>
          <w:sz w:val="28"/>
          <w:szCs w:val="28"/>
        </w:rPr>
        <w:t>год»</w:t>
      </w:r>
      <w:r w:rsidR="000B63F7" w:rsidRPr="009D1F5D">
        <w:rPr>
          <w:rFonts w:ascii="Times New Roman" w:hAnsi="Times New Roman" w:cs="Times New Roman"/>
          <w:sz w:val="28"/>
          <w:szCs w:val="28"/>
        </w:rPr>
        <w:t xml:space="preserve"> 2</w:t>
      </w:r>
      <w:r w:rsidR="00644E52" w:rsidRPr="009D1F5D">
        <w:rPr>
          <w:rFonts w:ascii="Times New Roman" w:hAnsi="Times New Roman" w:cs="Times New Roman"/>
          <w:sz w:val="28"/>
          <w:szCs w:val="28"/>
        </w:rPr>
        <w:t>2</w:t>
      </w:r>
      <w:r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644E52" w:rsidRPr="009D1F5D">
        <w:rPr>
          <w:rFonts w:ascii="Times New Roman" w:hAnsi="Times New Roman" w:cs="Times New Roman"/>
          <w:sz w:val="28"/>
          <w:szCs w:val="28"/>
        </w:rPr>
        <w:t>марта</w:t>
      </w:r>
      <w:r w:rsidRPr="009D1F5D">
        <w:rPr>
          <w:rFonts w:ascii="Times New Roman" w:hAnsi="Times New Roman" w:cs="Times New Roman"/>
          <w:sz w:val="28"/>
          <w:szCs w:val="28"/>
        </w:rPr>
        <w:t xml:space="preserve"> 202</w:t>
      </w:r>
      <w:r w:rsidR="00644E52" w:rsidRPr="009D1F5D">
        <w:rPr>
          <w:rFonts w:ascii="Times New Roman" w:hAnsi="Times New Roman" w:cs="Times New Roman"/>
          <w:sz w:val="28"/>
          <w:szCs w:val="28"/>
        </w:rPr>
        <w:t>4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Pr="009D1F5D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9D1F5D">
        <w:rPr>
          <w:rFonts w:ascii="Times New Roman" w:hAnsi="Times New Roman" w:cs="Times New Roman"/>
          <w:sz w:val="28"/>
          <w:szCs w:val="28"/>
        </w:rPr>
        <w:t>,</w:t>
      </w:r>
      <w:r w:rsidRPr="009D1F5D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66946588"/>
      <w:r w:rsidRPr="009D1F5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Коломыцево</w:t>
      </w:r>
      <w:r w:rsidRPr="009D1F5D">
        <w:rPr>
          <w:rFonts w:ascii="Times New Roman" w:hAnsi="Times New Roman" w:cs="Times New Roman"/>
          <w:sz w:val="28"/>
          <w:szCs w:val="28"/>
        </w:rPr>
        <w:t xml:space="preserve">, ул. </w:t>
      </w:r>
      <w:r w:rsidR="009D1F5D" w:rsidRPr="009D1F5D">
        <w:rPr>
          <w:rFonts w:ascii="Times New Roman" w:hAnsi="Times New Roman" w:cs="Times New Roman"/>
          <w:sz w:val="28"/>
          <w:szCs w:val="28"/>
        </w:rPr>
        <w:t>Центральная</w:t>
      </w:r>
      <w:r w:rsidRPr="009D1F5D">
        <w:rPr>
          <w:rFonts w:ascii="Times New Roman" w:hAnsi="Times New Roman" w:cs="Times New Roman"/>
          <w:sz w:val="28"/>
          <w:szCs w:val="28"/>
        </w:rPr>
        <w:t xml:space="preserve">, </w:t>
      </w:r>
      <w:r w:rsidR="009D1F5D" w:rsidRPr="009D1F5D">
        <w:rPr>
          <w:rFonts w:ascii="Times New Roman" w:hAnsi="Times New Roman" w:cs="Times New Roman"/>
          <w:sz w:val="28"/>
          <w:szCs w:val="28"/>
        </w:rPr>
        <w:t>53</w:t>
      </w:r>
      <w:r w:rsidRPr="009D1F5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9D1F5D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9D1F5D" w:rsidRPr="009D1F5D">
        <w:rPr>
          <w:rFonts w:ascii="Times New Roman" w:hAnsi="Times New Roman" w:cs="Times New Roman"/>
          <w:sz w:val="28"/>
          <w:szCs w:val="28"/>
        </w:rPr>
        <w:t>Ткач Любовь Васильевну</w:t>
      </w:r>
      <w:r w:rsidRPr="009D1F5D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Pr="009D1F5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9D1F5D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9D1F5D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- </w:t>
      </w:r>
      <w:r w:rsidR="009D1F5D" w:rsidRPr="009D1F5D">
        <w:rPr>
          <w:rFonts w:ascii="Times New Roman" w:hAnsi="Times New Roman" w:cs="Times New Roman"/>
          <w:sz w:val="28"/>
          <w:szCs w:val="28"/>
        </w:rPr>
        <w:t>Белкина Людмила Андреевн</w:t>
      </w:r>
      <w:proofErr w:type="gramStart"/>
      <w:r w:rsidR="009D1F5D" w:rsidRPr="009D1F5D">
        <w:rPr>
          <w:rFonts w:ascii="Times New Roman" w:hAnsi="Times New Roman" w:cs="Times New Roman"/>
          <w:sz w:val="28"/>
          <w:szCs w:val="28"/>
        </w:rPr>
        <w:t>а</w:t>
      </w:r>
      <w:r w:rsidRPr="009D1F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9D1F5D" w:rsidRPr="009D1F5D">
        <w:rPr>
          <w:rFonts w:ascii="Times New Roman" w:hAnsi="Times New Roman" w:cs="Times New Roman"/>
          <w:sz w:val="28"/>
          <w:szCs w:val="28"/>
        </w:rPr>
        <w:t>и.о.</w:t>
      </w:r>
      <w:r w:rsidRPr="009D1F5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Pr="009D1F5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9D1F5D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- </w:t>
      </w:r>
      <w:r w:rsidR="009D1F5D" w:rsidRPr="009D1F5D">
        <w:rPr>
          <w:rFonts w:ascii="Times New Roman" w:hAnsi="Times New Roman" w:cs="Times New Roman"/>
          <w:sz w:val="28"/>
          <w:szCs w:val="28"/>
        </w:rPr>
        <w:t>Цыгулева Татьяна Владимировна</w:t>
      </w:r>
      <w:r w:rsidRPr="009D1F5D">
        <w:rPr>
          <w:rFonts w:ascii="Times New Roman" w:hAnsi="Times New Roman" w:cs="Times New Roman"/>
          <w:sz w:val="28"/>
          <w:szCs w:val="28"/>
        </w:rPr>
        <w:t xml:space="preserve">- </w:t>
      </w:r>
      <w:r w:rsidR="009D1F5D" w:rsidRPr="009D1F5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D1F5D">
        <w:rPr>
          <w:rFonts w:ascii="Times New Roman" w:hAnsi="Times New Roman" w:cs="Times New Roman"/>
          <w:sz w:val="28"/>
          <w:szCs w:val="28"/>
        </w:rPr>
        <w:t>М</w:t>
      </w:r>
      <w:r w:rsidR="009D1F5D" w:rsidRPr="009D1F5D">
        <w:rPr>
          <w:rFonts w:ascii="Times New Roman" w:hAnsi="Times New Roman" w:cs="Times New Roman"/>
          <w:sz w:val="28"/>
          <w:szCs w:val="28"/>
        </w:rPr>
        <w:t>Б</w:t>
      </w:r>
      <w:r w:rsidRPr="009D1F5D">
        <w:rPr>
          <w:rFonts w:ascii="Times New Roman" w:hAnsi="Times New Roman" w:cs="Times New Roman"/>
          <w:sz w:val="28"/>
          <w:szCs w:val="28"/>
        </w:rPr>
        <w:t xml:space="preserve">ОУ </w:t>
      </w:r>
      <w:r w:rsidR="009D1F5D" w:rsidRPr="009D1F5D">
        <w:rPr>
          <w:rFonts w:ascii="Times New Roman" w:hAnsi="Times New Roman" w:cs="Times New Roman"/>
          <w:sz w:val="28"/>
          <w:szCs w:val="28"/>
        </w:rPr>
        <w:t>«Коломыцевская ООШ»</w:t>
      </w:r>
    </w:p>
    <w:p w:rsidR="00A40724" w:rsidRPr="009D1F5D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- </w:t>
      </w:r>
      <w:r w:rsidR="009D1F5D" w:rsidRPr="009D1F5D">
        <w:rPr>
          <w:rFonts w:ascii="Times New Roman" w:hAnsi="Times New Roman" w:cs="Times New Roman"/>
          <w:sz w:val="28"/>
          <w:szCs w:val="28"/>
        </w:rPr>
        <w:t>Кузубова Елена Петровна-</w:t>
      </w:r>
      <w:r w:rsidRPr="009D1F5D">
        <w:rPr>
          <w:rFonts w:ascii="Times New Roman" w:hAnsi="Times New Roman" w:cs="Times New Roman"/>
          <w:sz w:val="28"/>
          <w:szCs w:val="28"/>
        </w:rPr>
        <w:t xml:space="preserve"> директор МБОУ «</w:t>
      </w:r>
      <w:r w:rsidR="009D1F5D" w:rsidRPr="009D1F5D">
        <w:rPr>
          <w:rFonts w:ascii="Times New Roman" w:hAnsi="Times New Roman" w:cs="Times New Roman"/>
          <w:sz w:val="28"/>
          <w:szCs w:val="28"/>
        </w:rPr>
        <w:t>Донецкая О</w:t>
      </w:r>
      <w:r w:rsidRPr="009D1F5D">
        <w:rPr>
          <w:rFonts w:ascii="Times New Roman" w:hAnsi="Times New Roman" w:cs="Times New Roman"/>
          <w:sz w:val="28"/>
          <w:szCs w:val="28"/>
        </w:rPr>
        <w:t>ОШ»</w:t>
      </w:r>
    </w:p>
    <w:p w:rsidR="00A40724" w:rsidRPr="009D1F5D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- </w:t>
      </w:r>
      <w:r w:rsidR="009D1F5D" w:rsidRPr="009D1F5D">
        <w:rPr>
          <w:rFonts w:ascii="Times New Roman" w:hAnsi="Times New Roman" w:cs="Times New Roman"/>
          <w:sz w:val="28"/>
          <w:szCs w:val="28"/>
        </w:rPr>
        <w:t xml:space="preserve">Скибенко Олег Анатольевич- заведующий «Донецким ДК» </w:t>
      </w:r>
    </w:p>
    <w:p w:rsidR="00836523" w:rsidRPr="009D1F5D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Pr="009D1F5D">
        <w:rPr>
          <w:rFonts w:ascii="Times New Roman" w:hAnsi="Times New Roman" w:cs="Times New Roman"/>
          <w:sz w:val="28"/>
          <w:szCs w:val="28"/>
        </w:rPr>
        <w:t>4.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  </w:t>
      </w:r>
      <w:r w:rsidRPr="009D1F5D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proofErr w:type="gramStart"/>
      <w:r w:rsidRPr="009D1F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1F5D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Pr="009D1F5D" w:rsidRDefault="00836523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 w:rsidRPr="009D1F5D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«Об утверждении </w:t>
      </w:r>
      <w:r w:rsidRPr="009D1F5D">
        <w:rPr>
          <w:rFonts w:ascii="Times New Roman" w:hAnsi="Times New Roman" w:cs="Times New Roman"/>
          <w:sz w:val="28"/>
          <w:szCs w:val="28"/>
        </w:rPr>
        <w:t xml:space="preserve">  </w:t>
      </w:r>
      <w:r w:rsidR="00A40724" w:rsidRPr="009D1F5D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="00A40724" w:rsidRPr="009D1F5D">
        <w:rPr>
          <w:rFonts w:ascii="Times New Roman" w:hAnsi="Times New Roman" w:cs="Times New Roman"/>
          <w:sz w:val="28"/>
          <w:szCs w:val="28"/>
        </w:rPr>
        <w:t>за 202</w:t>
      </w:r>
      <w:r w:rsidR="00644E52" w:rsidRPr="009D1F5D">
        <w:rPr>
          <w:rFonts w:ascii="Times New Roman" w:hAnsi="Times New Roman" w:cs="Times New Roman"/>
          <w:sz w:val="28"/>
          <w:szCs w:val="28"/>
        </w:rPr>
        <w:t>3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A40724" w:rsidRPr="009D1F5D">
        <w:rPr>
          <w:rFonts w:ascii="Times New Roman" w:hAnsi="Times New Roman" w:cs="Times New Roman"/>
          <w:sz w:val="28"/>
          <w:szCs w:val="28"/>
        </w:rPr>
        <w:t>год»</w:t>
      </w:r>
    </w:p>
    <w:p w:rsidR="009D1F5D" w:rsidRPr="009D1F5D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«Об утверждении отчета об исполнении бюджета 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836523" w:rsidRPr="009D1F5D" w:rsidRDefault="00056FF1" w:rsidP="009D1F5D">
      <w:pPr>
        <w:pStyle w:val="a3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 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 за 202</w:t>
      </w:r>
      <w:r w:rsidR="00644E52" w:rsidRPr="009D1F5D">
        <w:rPr>
          <w:rFonts w:ascii="Times New Roman" w:hAnsi="Times New Roman" w:cs="Times New Roman"/>
          <w:sz w:val="28"/>
          <w:szCs w:val="28"/>
        </w:rPr>
        <w:t>3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год» предоставлять по адресу: Белгородская область, Прохоровский район, с.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Коломыцево</w:t>
      </w:r>
      <w:r w:rsidR="00836523" w:rsidRPr="009D1F5D">
        <w:rPr>
          <w:rFonts w:ascii="Times New Roman" w:hAnsi="Times New Roman" w:cs="Times New Roman"/>
          <w:sz w:val="28"/>
          <w:szCs w:val="28"/>
        </w:rPr>
        <w:t>, ул.</w:t>
      </w:r>
      <w:r w:rsidR="009D1F5D" w:rsidRPr="009D1F5D">
        <w:rPr>
          <w:rFonts w:ascii="Times New Roman" w:hAnsi="Times New Roman" w:cs="Times New Roman"/>
          <w:sz w:val="28"/>
          <w:szCs w:val="28"/>
        </w:rPr>
        <w:t>Центральная</w:t>
      </w:r>
      <w:r w:rsidR="00836523" w:rsidRPr="009D1F5D">
        <w:rPr>
          <w:rFonts w:ascii="Times New Roman" w:hAnsi="Times New Roman" w:cs="Times New Roman"/>
          <w:sz w:val="28"/>
          <w:szCs w:val="28"/>
        </w:rPr>
        <w:t>,</w:t>
      </w:r>
      <w:r w:rsidR="009D1F5D" w:rsidRPr="009D1F5D">
        <w:rPr>
          <w:rFonts w:ascii="Times New Roman" w:hAnsi="Times New Roman" w:cs="Times New Roman"/>
          <w:sz w:val="28"/>
          <w:szCs w:val="28"/>
        </w:rPr>
        <w:t xml:space="preserve">53 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="003906F3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9D1F5D">
        <w:rPr>
          <w:rFonts w:ascii="Times New Roman" w:hAnsi="Times New Roman" w:cs="Times New Roman"/>
          <w:sz w:val="28"/>
          <w:szCs w:val="28"/>
        </w:rPr>
        <w:t>часо</w:t>
      </w:r>
      <w:r w:rsidR="003906F3" w:rsidRPr="009D1F5D">
        <w:rPr>
          <w:rFonts w:ascii="Times New Roman" w:hAnsi="Times New Roman" w:cs="Times New Roman"/>
          <w:sz w:val="28"/>
          <w:szCs w:val="28"/>
        </w:rPr>
        <w:t>в</w:t>
      </w:r>
      <w:r w:rsidR="00836523" w:rsidRPr="009D1F5D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9D1F5D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«Об утверждении отчета об исполнении бюджета 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9D1F5D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Pr="009D1F5D">
        <w:rPr>
          <w:rFonts w:ascii="Times New Roman" w:hAnsi="Times New Roman" w:cs="Times New Roman"/>
          <w:sz w:val="28"/>
          <w:szCs w:val="28"/>
        </w:rPr>
        <w:t xml:space="preserve"> за 202</w:t>
      </w:r>
      <w:r w:rsidR="00644E52" w:rsidRPr="009D1F5D">
        <w:rPr>
          <w:rFonts w:ascii="Times New Roman" w:hAnsi="Times New Roman" w:cs="Times New Roman"/>
          <w:sz w:val="28"/>
          <w:szCs w:val="28"/>
        </w:rPr>
        <w:t>3</w:t>
      </w:r>
      <w:r w:rsidRPr="009D1F5D">
        <w:rPr>
          <w:rFonts w:ascii="Times New Roman" w:hAnsi="Times New Roman" w:cs="Times New Roman"/>
          <w:sz w:val="28"/>
          <w:szCs w:val="28"/>
        </w:rPr>
        <w:t xml:space="preserve"> год» на официальном сайте органов местного самоуправления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Pr="009D1F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9D1F5D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9D1F5D" w:rsidRDefault="00CF3A72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508000</wp:posOffset>
            </wp:positionV>
            <wp:extent cx="1600200" cy="1571625"/>
            <wp:effectExtent l="0" t="0" r="0" b="0"/>
            <wp:wrapNone/>
            <wp:docPr id="2" name="Рисунок 1" descr="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емская прозрачная печат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6F4" w:rsidRPr="009D1F5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</w:t>
      </w:r>
      <w:proofErr w:type="spellStart"/>
      <w:r w:rsidR="009D1F5D" w:rsidRPr="009D1F5D">
        <w:rPr>
          <w:rFonts w:ascii="Times New Roman" w:hAnsi="Times New Roman" w:cs="Times New Roman"/>
          <w:sz w:val="28"/>
          <w:szCs w:val="28"/>
        </w:rPr>
        <w:t>и.о.</w:t>
      </w:r>
      <w:r w:rsidR="00E456F4" w:rsidRPr="009D1F5D">
        <w:rPr>
          <w:rFonts w:ascii="Times New Roman" w:hAnsi="Times New Roman" w:cs="Times New Roman"/>
          <w:sz w:val="28"/>
          <w:szCs w:val="28"/>
        </w:rPr>
        <w:t>главу</w:t>
      </w:r>
      <w:r w:rsidR="009D1F5D" w:rsidRPr="009D1F5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456F4" w:rsidRPr="009D1F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="00E456F4" w:rsidRPr="009D1F5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E456F4" w:rsidRPr="009D1F5D">
        <w:rPr>
          <w:rFonts w:ascii="Times New Roman" w:hAnsi="Times New Roman" w:cs="Times New Roman"/>
          <w:sz w:val="28"/>
          <w:szCs w:val="28"/>
        </w:rPr>
        <w:t>поселения-</w:t>
      </w:r>
      <w:r w:rsidR="009D1F5D" w:rsidRPr="009D1F5D">
        <w:rPr>
          <w:rFonts w:ascii="Times New Roman" w:hAnsi="Times New Roman" w:cs="Times New Roman"/>
          <w:sz w:val="28"/>
          <w:szCs w:val="28"/>
        </w:rPr>
        <w:t>Белкину</w:t>
      </w:r>
      <w:proofErr w:type="spellEnd"/>
      <w:r w:rsidR="009D1F5D" w:rsidRPr="009D1F5D">
        <w:rPr>
          <w:rFonts w:ascii="Times New Roman" w:hAnsi="Times New Roman" w:cs="Times New Roman"/>
          <w:sz w:val="28"/>
          <w:szCs w:val="28"/>
        </w:rPr>
        <w:t xml:space="preserve"> Людмилу Андреевну</w:t>
      </w:r>
      <w:r w:rsidR="00E456F4" w:rsidRPr="009D1F5D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456F4" w:rsidRPr="009D1F5D" w:rsidRDefault="00CF3A72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113665</wp:posOffset>
            </wp:positionV>
            <wp:extent cx="1571625" cy="1143000"/>
            <wp:effectExtent l="0" t="0" r="0" b="0"/>
            <wp:wrapNone/>
            <wp:docPr id="1" name="Рисунок 1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6F4" w:rsidRPr="009D1F5D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9D1F5D" w:rsidRDefault="003906F3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9D1F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1F5D" w:rsidRPr="009D1F5D">
        <w:rPr>
          <w:rFonts w:ascii="Times New Roman" w:hAnsi="Times New Roman" w:cs="Times New Roman"/>
          <w:sz w:val="28"/>
          <w:szCs w:val="28"/>
        </w:rPr>
        <w:t>Коломыцевского</w:t>
      </w:r>
      <w:r w:rsidR="00E456F4" w:rsidRPr="009D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F4" w:rsidRPr="009D1F5D" w:rsidRDefault="003906F3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F5D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9D1F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9D1F5D" w:rsidRPr="009D1F5D">
        <w:rPr>
          <w:rFonts w:ascii="Times New Roman" w:hAnsi="Times New Roman" w:cs="Times New Roman"/>
          <w:sz w:val="28"/>
          <w:szCs w:val="28"/>
        </w:rPr>
        <w:t>Л.В.Ткач</w:t>
      </w:r>
    </w:p>
    <w:p w:rsidR="00A40724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4C6692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tblInd w:w="93" w:type="dxa"/>
        <w:tblLook w:val="04A0"/>
      </w:tblPr>
      <w:tblGrid>
        <w:gridCol w:w="5288"/>
        <w:gridCol w:w="1395"/>
        <w:gridCol w:w="1486"/>
        <w:gridCol w:w="1485"/>
      </w:tblGrid>
      <w:tr w:rsidR="00D16F33" w:rsidRPr="00D16F33" w:rsidTr="00D16F33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  К ПУБЛИЧНЫМ СЛУШАНИЯМ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Коломыцевского сельского поселения муниципального рай</w:t>
            </w:r>
            <w:r w:rsidR="00783BA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D16F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 "Прохоровский район" Белгородской области  за 2023 год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Коломыцевского</w:t>
            </w: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сельского поселения муниципального района" Прохоровский район" Белгородской области за</w:t>
            </w: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2023 год  соответствует данным бухгалтерской отчётности, составленной в соответствии с приказом</w:t>
            </w: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представления 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годовой,квартальной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месячной отчётности об исполнении бюджетов бюджет-</w:t>
            </w: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на 2023 год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в тыс.рублей</w:t>
            </w:r>
          </w:p>
        </w:tc>
      </w:tr>
      <w:tr w:rsidR="00D16F33" w:rsidRPr="00D16F33" w:rsidTr="00D16F33">
        <w:trPr>
          <w:trHeight w:val="88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5561,2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5362,8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96,4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741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589,4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79,5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Дефицит(-). 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Профицит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(+)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-198,4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налоги,сборы,прочие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213,3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125,5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-9,2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-9,7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327,8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73,2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Аренда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137,1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Штрафы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3607,4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3607,4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504,5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504,4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127,8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124,8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97,7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580,5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536,9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F33" w:rsidRPr="00D16F33" w:rsidTr="00D16F33">
        <w:trPr>
          <w:trHeight w:val="61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асигнования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33" w:rsidRPr="00D16F33" w:rsidRDefault="00D16F33" w:rsidP="00D1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4990,7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5966,6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119,6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F33" w:rsidRPr="00D16F33" w:rsidTr="00D16F33">
        <w:trPr>
          <w:trHeight w:val="33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lang w:eastAsia="ru-RU"/>
              </w:rPr>
              <w:t>1879,5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lang w:eastAsia="ru-RU"/>
              </w:rPr>
              <w:t>2317,3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123,3</w:t>
            </w:r>
          </w:p>
        </w:tc>
      </w:tr>
      <w:tr w:rsidR="00D16F33" w:rsidRPr="00D16F33" w:rsidTr="00D16F33">
        <w:trPr>
          <w:trHeight w:val="61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Раздел 0200 Национальная оборона (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перв.воинский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110,5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113,5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102,7</w:t>
            </w:r>
          </w:p>
        </w:tc>
      </w:tr>
      <w:tr w:rsidR="00D16F33" w:rsidRPr="00D16F33" w:rsidTr="00D16F33">
        <w:trPr>
          <w:trHeight w:val="85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0300 Национальная безопасность                   ( содержание 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ЕДДС,противопожарные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377,3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494,1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131,0</w:t>
            </w:r>
          </w:p>
        </w:tc>
      </w:tr>
      <w:tr w:rsidR="00D16F33" w:rsidRPr="00D16F33" w:rsidTr="00D16F33">
        <w:trPr>
          <w:trHeight w:val="58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676,8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848,7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125,4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подраздел 0405 Сельское </w:t>
            </w:r>
            <w:proofErr w:type="spellStart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хоз-во</w:t>
            </w:r>
            <w:proofErr w:type="spellEnd"/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рыболовство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354,2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397,8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112,3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94,2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112,7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119,6</w:t>
            </w:r>
          </w:p>
        </w:tc>
      </w:tr>
      <w:tr w:rsidR="00D16F33" w:rsidRPr="00D16F33" w:rsidTr="00D16F33">
        <w:trPr>
          <w:trHeight w:val="6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214,2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323,9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151,2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1915,3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2117,2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110,5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Молодежная политика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126,2</w:t>
            </w:r>
          </w:p>
        </w:tc>
      </w:tr>
      <w:tr w:rsidR="00D16F33" w:rsidRPr="00D16F33" w:rsidTr="00D16F33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24,3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33" w:rsidRPr="00D16F33" w:rsidRDefault="00D16F33" w:rsidP="00D16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6F33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</w:tbl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09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56FF1"/>
    <w:rsid w:val="00093C35"/>
    <w:rsid w:val="000B1A13"/>
    <w:rsid w:val="000B63F7"/>
    <w:rsid w:val="000E2F9C"/>
    <w:rsid w:val="000E39D7"/>
    <w:rsid w:val="0010781F"/>
    <w:rsid w:val="00176C21"/>
    <w:rsid w:val="003906F3"/>
    <w:rsid w:val="003C396A"/>
    <w:rsid w:val="004A1E2F"/>
    <w:rsid w:val="004C6692"/>
    <w:rsid w:val="00644E52"/>
    <w:rsid w:val="006478FA"/>
    <w:rsid w:val="00661CFC"/>
    <w:rsid w:val="00665BB0"/>
    <w:rsid w:val="006A074E"/>
    <w:rsid w:val="00781A65"/>
    <w:rsid w:val="00783BA3"/>
    <w:rsid w:val="007A0B66"/>
    <w:rsid w:val="007B7529"/>
    <w:rsid w:val="00831886"/>
    <w:rsid w:val="00836523"/>
    <w:rsid w:val="0086130D"/>
    <w:rsid w:val="00875DD9"/>
    <w:rsid w:val="008E3383"/>
    <w:rsid w:val="00910C14"/>
    <w:rsid w:val="009D1F5D"/>
    <w:rsid w:val="00A40724"/>
    <w:rsid w:val="00A52E37"/>
    <w:rsid w:val="00A938BB"/>
    <w:rsid w:val="00B07458"/>
    <w:rsid w:val="00B5161A"/>
    <w:rsid w:val="00BC2F42"/>
    <w:rsid w:val="00C215FD"/>
    <w:rsid w:val="00C35560"/>
    <w:rsid w:val="00CB54AB"/>
    <w:rsid w:val="00CF3A72"/>
    <w:rsid w:val="00D11A1D"/>
    <w:rsid w:val="00D16F33"/>
    <w:rsid w:val="00E456F4"/>
    <w:rsid w:val="00EF0201"/>
    <w:rsid w:val="00F739C0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2A4B-3C9E-4AD5-A550-F6FB38FA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14</cp:revision>
  <dcterms:created xsi:type="dcterms:W3CDTF">2021-03-19T05:15:00Z</dcterms:created>
  <dcterms:modified xsi:type="dcterms:W3CDTF">2024-02-27T05:52:00Z</dcterms:modified>
</cp:coreProperties>
</file>